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26350E" w14:textId="0790ABD1" w:rsidR="003F520F" w:rsidRDefault="00000000">
      <w:pPr>
        <w:spacing w:before="240" w:after="0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3GPP TSG RAN WG1 Meeting #116                                                           </w:t>
      </w:r>
      <w:r>
        <w:rPr>
          <w:rFonts w:ascii="Arial" w:eastAsia="Arial" w:hAnsi="Arial" w:cs="Arial"/>
          <w:b/>
          <w:sz w:val="24"/>
          <w:szCs w:val="24"/>
        </w:rPr>
        <w:tab/>
        <w:t>R1-240</w:t>
      </w:r>
      <w:r w:rsidR="00B90EA6">
        <w:rPr>
          <w:rFonts w:ascii="Arial" w:eastAsia="Arial" w:hAnsi="Arial" w:cs="Arial"/>
          <w:b/>
          <w:sz w:val="24"/>
          <w:szCs w:val="24"/>
        </w:rPr>
        <w:t>1468</w:t>
      </w:r>
    </w:p>
    <w:p w14:paraId="1DCE54F9" w14:textId="77777777" w:rsidR="003F520F" w:rsidRDefault="00000000">
      <w:pPr>
        <w:spacing w:before="240" w:after="240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Athens, Greece, February 26th – March 1st, 2024</w:t>
      </w:r>
    </w:p>
    <w:p w14:paraId="0F9E83BD" w14:textId="77777777" w:rsidR="003F520F" w:rsidRDefault="00000000">
      <w:pPr>
        <w:spacing w:before="240" w:after="240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Source:              </w:t>
      </w:r>
      <w:r>
        <w:rPr>
          <w:rFonts w:ascii="Arial" w:eastAsia="Arial" w:hAnsi="Arial" w:cs="Arial"/>
          <w:b/>
          <w:sz w:val="24"/>
          <w:szCs w:val="24"/>
        </w:rPr>
        <w:tab/>
        <w:t>Tiami Networks</w:t>
      </w:r>
    </w:p>
    <w:p w14:paraId="4F30B4BD" w14:textId="77777777" w:rsidR="003F520F" w:rsidRDefault="00000000">
      <w:pPr>
        <w:spacing w:before="240" w:after="240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Title: </w:t>
      </w:r>
      <w:r>
        <w:rPr>
          <w:rFonts w:ascii="Arial" w:eastAsia="Arial" w:hAnsi="Arial" w:cs="Arial"/>
          <w:b/>
        </w:rPr>
        <w:t xml:space="preserve">                   </w:t>
      </w:r>
      <w:r>
        <w:rPr>
          <w:rFonts w:ascii="Arial" w:eastAsia="Arial" w:hAnsi="Arial" w:cs="Arial"/>
          <w:b/>
        </w:rPr>
        <w:tab/>
      </w:r>
      <w:r>
        <w:rPr>
          <w:rFonts w:ascii="Arial" w:eastAsia="Arial" w:hAnsi="Arial" w:cs="Arial"/>
          <w:b/>
          <w:sz w:val="24"/>
          <w:szCs w:val="24"/>
        </w:rPr>
        <w:t>Overview of ISAC Deployment scenarios</w:t>
      </w:r>
    </w:p>
    <w:p w14:paraId="1A9290A7" w14:textId="77777777" w:rsidR="003F520F" w:rsidRDefault="00000000">
      <w:pPr>
        <w:spacing w:before="240" w:after="240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Agenda item:    </w:t>
      </w:r>
      <w:r>
        <w:rPr>
          <w:rFonts w:ascii="Arial" w:eastAsia="Arial" w:hAnsi="Arial" w:cs="Arial"/>
          <w:b/>
          <w:sz w:val="24"/>
          <w:szCs w:val="24"/>
        </w:rPr>
        <w:tab/>
        <w:t>9.7.1</w:t>
      </w:r>
    </w:p>
    <w:p w14:paraId="03C40FEB" w14:textId="77777777" w:rsidR="003F520F" w:rsidRDefault="00000000">
      <w:pPr>
        <w:spacing w:before="240" w:after="240"/>
        <w:ind w:right="-440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Document for:  </w:t>
      </w:r>
      <w:r>
        <w:rPr>
          <w:rFonts w:ascii="Arial" w:eastAsia="Arial" w:hAnsi="Arial" w:cs="Arial"/>
          <w:b/>
          <w:sz w:val="24"/>
          <w:szCs w:val="24"/>
        </w:rPr>
        <w:tab/>
        <w:t>Discussion and Decision</w:t>
      </w:r>
    </w:p>
    <w:p w14:paraId="13A35528" w14:textId="77777777" w:rsidR="003F520F" w:rsidRDefault="003F520F">
      <w:pPr>
        <w:spacing w:after="0"/>
        <w:jc w:val="both"/>
        <w:rPr>
          <w:b/>
        </w:rPr>
      </w:pPr>
    </w:p>
    <w:p w14:paraId="7C06AE81" w14:textId="77777777" w:rsidR="003F520F" w:rsidRDefault="00000000">
      <w:pPr>
        <w:spacing w:after="0"/>
        <w:jc w:val="both"/>
        <w:rPr>
          <w:b/>
        </w:rPr>
      </w:pPr>
      <w:r>
        <w:rPr>
          <w:b/>
        </w:rPr>
        <w:t>Introduction:</w:t>
      </w:r>
    </w:p>
    <w:p w14:paraId="276175F0" w14:textId="77777777" w:rsidR="003F520F" w:rsidRDefault="00000000">
      <w:pPr>
        <w:spacing w:after="0"/>
        <w:jc w:val="both"/>
      </w:pPr>
      <w:r>
        <w:t>According to the ISAC study items [1], the following objects were considered for integrated sensing applications.</w:t>
      </w:r>
    </w:p>
    <w:p w14:paraId="60F64164" w14:textId="77777777" w:rsidR="003F520F" w:rsidRDefault="00000000">
      <w:pPr>
        <w:numPr>
          <w:ilvl w:val="0"/>
          <w:numId w:val="3"/>
        </w:numPr>
        <w:spacing w:after="0"/>
        <w:jc w:val="both"/>
      </w:pPr>
      <w:r>
        <w:t>UAVs</w:t>
      </w:r>
    </w:p>
    <w:p w14:paraId="623784EC" w14:textId="77777777" w:rsidR="003F520F" w:rsidRDefault="00000000">
      <w:pPr>
        <w:numPr>
          <w:ilvl w:val="0"/>
          <w:numId w:val="3"/>
        </w:numPr>
        <w:spacing w:after="0"/>
        <w:jc w:val="both"/>
      </w:pPr>
      <w:r>
        <w:t xml:space="preserve">Humans indoors and outdoors </w:t>
      </w:r>
    </w:p>
    <w:p w14:paraId="06F34BA6" w14:textId="77777777" w:rsidR="003F520F" w:rsidRDefault="00000000">
      <w:pPr>
        <w:numPr>
          <w:ilvl w:val="0"/>
          <w:numId w:val="3"/>
        </w:numPr>
        <w:spacing w:after="0"/>
        <w:jc w:val="both"/>
      </w:pPr>
      <w:r>
        <w:t>Automotive vehicles (at least outdoors)</w:t>
      </w:r>
    </w:p>
    <w:p w14:paraId="3EA9C0B9" w14:textId="77777777" w:rsidR="003F520F" w:rsidRDefault="00000000">
      <w:pPr>
        <w:numPr>
          <w:ilvl w:val="0"/>
          <w:numId w:val="3"/>
        </w:numPr>
        <w:spacing w:after="0"/>
        <w:jc w:val="both"/>
      </w:pPr>
      <w:r>
        <w:t>Automated guided vehicles (e.g. in indoor factories)</w:t>
      </w:r>
    </w:p>
    <w:p w14:paraId="11535380" w14:textId="77777777" w:rsidR="003F520F" w:rsidRDefault="00000000">
      <w:pPr>
        <w:numPr>
          <w:ilvl w:val="0"/>
          <w:numId w:val="3"/>
        </w:numPr>
        <w:spacing w:after="0"/>
        <w:jc w:val="both"/>
      </w:pPr>
      <w:r>
        <w:t>Objects creating hazards on roads/railways, with a minimum size dependent on frequency.</w:t>
      </w:r>
    </w:p>
    <w:p w14:paraId="44B70441" w14:textId="77777777" w:rsidR="003F520F" w:rsidRDefault="003F520F">
      <w:pPr>
        <w:spacing w:after="0"/>
      </w:pPr>
    </w:p>
    <w:p w14:paraId="3C2B18A4" w14:textId="77777777" w:rsidR="003F520F" w:rsidRDefault="00000000">
      <w:pPr>
        <w:spacing w:after="0"/>
        <w:jc w:val="both"/>
      </w:pPr>
      <w:r>
        <w:t>In this proposal, we identify details of the deployment scenarios corresponding to some of the above use-cases. We consider monostatic scenarios where the sensing receiver and transmitters are placed at the same location. For the bistatic scenarios, one should consider different characteristics for the transmitter and receiver.</w:t>
      </w:r>
    </w:p>
    <w:p w14:paraId="5C5D1C0D" w14:textId="77777777" w:rsidR="003F520F" w:rsidRDefault="003F520F">
      <w:pPr>
        <w:spacing w:after="0"/>
      </w:pPr>
    </w:p>
    <w:p w14:paraId="7B09FBB5" w14:textId="77777777" w:rsidR="003F520F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b/>
          <w:color w:val="000000"/>
        </w:rPr>
      </w:pPr>
      <w:r>
        <w:rPr>
          <w:b/>
          <w:color w:val="000000"/>
        </w:rPr>
        <w:t>Indoor Deployment Scenarios</w:t>
      </w:r>
    </w:p>
    <w:p w14:paraId="490A388D" w14:textId="77777777" w:rsidR="003F520F" w:rsidRDefault="003F520F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b/>
          <w:color w:val="000000"/>
        </w:rPr>
      </w:pPr>
    </w:p>
    <w:p w14:paraId="28286559" w14:textId="77777777" w:rsidR="003F520F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b/>
          <w:color w:val="000000"/>
        </w:rPr>
        <w:t>Indoor home/office</w:t>
      </w:r>
      <w:r>
        <w:rPr>
          <w:color w:val="000000"/>
        </w:rPr>
        <w:t>: We suggest the following parameters and their corresponding values for an indoor home/office scenario:</w:t>
      </w:r>
    </w:p>
    <w:p w14:paraId="30C4BEEE" w14:textId="77777777" w:rsidR="003F520F" w:rsidRDefault="00000000">
      <w:pPr>
        <w:keepNext/>
        <w:pBdr>
          <w:top w:val="nil"/>
          <w:left w:val="nil"/>
          <w:bottom w:val="nil"/>
          <w:right w:val="nil"/>
          <w:between w:val="nil"/>
        </w:pBdr>
        <w:spacing w:after="200" w:line="240" w:lineRule="auto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Table 1. Parameters for indoor office/home with </w:t>
      </w:r>
      <w:r>
        <w:rPr>
          <w:sz w:val="20"/>
          <w:szCs w:val="20"/>
        </w:rPr>
        <w:t>human as the sensing object</w:t>
      </w:r>
    </w:p>
    <w:tbl>
      <w:tblPr>
        <w:tblStyle w:val="a"/>
        <w:tblW w:w="7290" w:type="dxa"/>
        <w:tblInd w:w="1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40"/>
        <w:gridCol w:w="4415"/>
        <w:gridCol w:w="2435"/>
      </w:tblGrid>
      <w:tr w:rsidR="003F520F" w14:paraId="2E086011" w14:textId="77777777"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DD81C3" w14:textId="77777777" w:rsidR="003F520F" w:rsidRDefault="003F52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b/>
                <w:color w:val="000000"/>
              </w:rPr>
            </w:pPr>
          </w:p>
        </w:tc>
        <w:tc>
          <w:tcPr>
            <w:tcW w:w="4415" w:type="dxa"/>
            <w:tcBorders>
              <w:left w:val="single" w:sz="4" w:space="0" w:color="000000"/>
            </w:tcBorders>
            <w:shd w:val="clear" w:color="auto" w:fill="E7E6E6"/>
            <w:vAlign w:val="center"/>
          </w:tcPr>
          <w:p w14:paraId="7AC7CC62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Parameter</w:t>
            </w:r>
          </w:p>
        </w:tc>
        <w:tc>
          <w:tcPr>
            <w:tcW w:w="2435" w:type="dxa"/>
            <w:shd w:val="clear" w:color="auto" w:fill="E7E6E6"/>
            <w:vAlign w:val="center"/>
          </w:tcPr>
          <w:p w14:paraId="5DF8D4CB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Value</w:t>
            </w:r>
          </w:p>
        </w:tc>
      </w:tr>
      <w:tr w:rsidR="003F520F" w14:paraId="5CF01EDB" w14:textId="77777777">
        <w:tc>
          <w:tcPr>
            <w:tcW w:w="440" w:type="dxa"/>
            <w:tcBorders>
              <w:top w:val="single" w:sz="4" w:space="0" w:color="000000"/>
            </w:tcBorders>
            <w:vAlign w:val="center"/>
          </w:tcPr>
          <w:p w14:paraId="125A2A5F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415" w:type="dxa"/>
            <w:vAlign w:val="center"/>
          </w:tcPr>
          <w:p w14:paraId="281828D9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color w:val="000000"/>
              </w:rPr>
            </w:pPr>
            <w:r>
              <w:rPr>
                <w:color w:val="000000"/>
              </w:rPr>
              <w:t>Room size</w:t>
            </w:r>
          </w:p>
        </w:tc>
        <w:tc>
          <w:tcPr>
            <w:tcW w:w="2435" w:type="dxa"/>
            <w:vAlign w:val="center"/>
          </w:tcPr>
          <w:p w14:paraId="41E3D85C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color w:val="000000"/>
              </w:rPr>
            </w:pPr>
            <w:r>
              <w:rPr>
                <w:color w:val="000000"/>
              </w:rPr>
              <w:t>120m x 50m x 3m</w:t>
            </w:r>
          </w:p>
        </w:tc>
      </w:tr>
      <w:tr w:rsidR="003F520F" w14:paraId="2B5AFE1D" w14:textId="77777777">
        <w:tc>
          <w:tcPr>
            <w:tcW w:w="440" w:type="dxa"/>
            <w:vAlign w:val="center"/>
          </w:tcPr>
          <w:p w14:paraId="02DCA4CF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415" w:type="dxa"/>
            <w:vAlign w:val="center"/>
          </w:tcPr>
          <w:p w14:paraId="65AB463B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color w:val="000000"/>
              </w:rPr>
            </w:pPr>
            <w:r>
              <w:rPr>
                <w:color w:val="000000"/>
              </w:rPr>
              <w:t>Number of wooden objects</w:t>
            </w:r>
          </w:p>
        </w:tc>
        <w:tc>
          <w:tcPr>
            <w:tcW w:w="2435" w:type="dxa"/>
            <w:vAlign w:val="center"/>
          </w:tcPr>
          <w:p w14:paraId="76B225A4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3F520F" w14:paraId="1A3D6E8C" w14:textId="77777777">
        <w:tc>
          <w:tcPr>
            <w:tcW w:w="440" w:type="dxa"/>
            <w:vAlign w:val="center"/>
          </w:tcPr>
          <w:p w14:paraId="5CD369FD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415" w:type="dxa"/>
            <w:vAlign w:val="center"/>
          </w:tcPr>
          <w:p w14:paraId="3595E561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color w:val="000000"/>
              </w:rPr>
            </w:pPr>
            <w:r>
              <w:rPr>
                <w:color w:val="000000"/>
              </w:rPr>
              <w:t>Size of the wooden objects</w:t>
            </w:r>
          </w:p>
        </w:tc>
        <w:tc>
          <w:tcPr>
            <w:tcW w:w="2435" w:type="dxa"/>
            <w:vAlign w:val="center"/>
          </w:tcPr>
          <w:p w14:paraId="528D853E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color w:val="000000"/>
              </w:rPr>
            </w:pPr>
            <w:r>
              <w:rPr>
                <w:color w:val="000000"/>
              </w:rPr>
              <w:t>180cm x 80cm x 75cm</w:t>
            </w:r>
          </w:p>
        </w:tc>
      </w:tr>
      <w:tr w:rsidR="003F520F" w14:paraId="7DACFC1E" w14:textId="77777777">
        <w:tc>
          <w:tcPr>
            <w:tcW w:w="440" w:type="dxa"/>
            <w:vAlign w:val="center"/>
          </w:tcPr>
          <w:p w14:paraId="41C6AE3A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415" w:type="dxa"/>
            <w:vAlign w:val="center"/>
          </w:tcPr>
          <w:p w14:paraId="7E16B7D7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color w:val="000000"/>
              </w:rPr>
            </w:pPr>
            <w:r>
              <w:rPr>
                <w:color w:val="000000"/>
              </w:rPr>
              <w:t>Number of windows</w:t>
            </w:r>
          </w:p>
        </w:tc>
        <w:tc>
          <w:tcPr>
            <w:tcW w:w="2435" w:type="dxa"/>
            <w:vAlign w:val="center"/>
          </w:tcPr>
          <w:p w14:paraId="4897ABF7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3F520F" w14:paraId="37AB13A0" w14:textId="77777777">
        <w:tc>
          <w:tcPr>
            <w:tcW w:w="440" w:type="dxa"/>
            <w:vAlign w:val="center"/>
          </w:tcPr>
          <w:p w14:paraId="7050FF7C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4415" w:type="dxa"/>
            <w:vAlign w:val="center"/>
          </w:tcPr>
          <w:p w14:paraId="6E662A29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color w:val="000000"/>
              </w:rPr>
            </w:pPr>
            <w:r>
              <w:rPr>
                <w:color w:val="000000"/>
              </w:rPr>
              <w:t>Windows size</w:t>
            </w:r>
          </w:p>
        </w:tc>
        <w:tc>
          <w:tcPr>
            <w:tcW w:w="2435" w:type="dxa"/>
            <w:vAlign w:val="center"/>
          </w:tcPr>
          <w:p w14:paraId="606C594F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color w:val="000000"/>
              </w:rPr>
            </w:pPr>
            <w:r>
              <w:rPr>
                <w:color w:val="000000"/>
              </w:rPr>
              <w:t>150cm x 90cm</w:t>
            </w:r>
          </w:p>
        </w:tc>
      </w:tr>
      <w:tr w:rsidR="003F520F" w14:paraId="268C83BC" w14:textId="77777777">
        <w:tc>
          <w:tcPr>
            <w:tcW w:w="440" w:type="dxa"/>
            <w:vAlign w:val="center"/>
          </w:tcPr>
          <w:p w14:paraId="391CB87E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4415" w:type="dxa"/>
            <w:vAlign w:val="center"/>
          </w:tcPr>
          <w:p w14:paraId="1DDE8BAC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color w:val="000000"/>
              </w:rPr>
            </w:pPr>
            <w:r>
              <w:rPr>
                <w:color w:val="000000"/>
              </w:rPr>
              <w:t>Sensing object speed</w:t>
            </w:r>
          </w:p>
        </w:tc>
        <w:tc>
          <w:tcPr>
            <w:tcW w:w="2435" w:type="dxa"/>
            <w:vAlign w:val="center"/>
          </w:tcPr>
          <w:p w14:paraId="7DA10D69" w14:textId="2E62EF1A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color w:val="000000"/>
              </w:rPr>
            </w:pPr>
            <w:r>
              <w:rPr>
                <w:color w:val="000000"/>
              </w:rPr>
              <w:t>3 km/</w:t>
            </w:r>
            <w:r w:rsidR="004F28FC">
              <w:rPr>
                <w:color w:val="000000"/>
              </w:rPr>
              <w:t>h</w:t>
            </w:r>
          </w:p>
        </w:tc>
      </w:tr>
      <w:tr w:rsidR="003F520F" w14:paraId="47CA8226" w14:textId="77777777">
        <w:tc>
          <w:tcPr>
            <w:tcW w:w="440" w:type="dxa"/>
            <w:vAlign w:val="center"/>
          </w:tcPr>
          <w:p w14:paraId="77A6903F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7</w:t>
            </w:r>
          </w:p>
        </w:tc>
        <w:tc>
          <w:tcPr>
            <w:tcW w:w="4415" w:type="dxa"/>
            <w:vAlign w:val="center"/>
          </w:tcPr>
          <w:p w14:paraId="4BF8AFA1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color w:val="000000"/>
              </w:rPr>
            </w:pPr>
            <w:r>
              <w:rPr>
                <w:color w:val="000000"/>
              </w:rPr>
              <w:t>Objects’ location distribution</w:t>
            </w:r>
          </w:p>
        </w:tc>
        <w:tc>
          <w:tcPr>
            <w:tcW w:w="2435" w:type="dxa"/>
            <w:vAlign w:val="center"/>
          </w:tcPr>
          <w:p w14:paraId="1E769F50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color w:val="000000"/>
              </w:rPr>
            </w:pPr>
            <w:r>
              <w:rPr>
                <w:color w:val="000000"/>
              </w:rPr>
              <w:t>Uniform</w:t>
            </w:r>
          </w:p>
        </w:tc>
      </w:tr>
      <w:tr w:rsidR="003F520F" w14:paraId="63DD3550" w14:textId="77777777">
        <w:tc>
          <w:tcPr>
            <w:tcW w:w="440" w:type="dxa"/>
            <w:vAlign w:val="center"/>
          </w:tcPr>
          <w:p w14:paraId="3EEFCD96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4415" w:type="dxa"/>
            <w:vAlign w:val="center"/>
          </w:tcPr>
          <w:p w14:paraId="10AECEE8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color w:val="000000"/>
              </w:rPr>
            </w:pPr>
            <w:r>
              <w:rPr>
                <w:color w:val="000000"/>
              </w:rPr>
              <w:t>Sensing object locations distribution</w:t>
            </w:r>
          </w:p>
        </w:tc>
        <w:tc>
          <w:tcPr>
            <w:tcW w:w="2435" w:type="dxa"/>
            <w:vAlign w:val="center"/>
          </w:tcPr>
          <w:p w14:paraId="1D4464D6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color w:val="000000"/>
              </w:rPr>
            </w:pPr>
            <w:r>
              <w:rPr>
                <w:color w:val="000000"/>
              </w:rPr>
              <w:t>Uniform</w:t>
            </w:r>
          </w:p>
        </w:tc>
      </w:tr>
      <w:tr w:rsidR="003F520F" w14:paraId="5596E8DD" w14:textId="77777777">
        <w:tc>
          <w:tcPr>
            <w:tcW w:w="440" w:type="dxa"/>
            <w:vAlign w:val="center"/>
          </w:tcPr>
          <w:p w14:paraId="38533A85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4415" w:type="dxa"/>
            <w:vAlign w:val="center"/>
          </w:tcPr>
          <w:p w14:paraId="6BF8CED7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color w:val="000000"/>
              </w:rPr>
            </w:pPr>
            <w:r>
              <w:rPr>
                <w:color w:val="000000"/>
              </w:rPr>
              <w:t>Sensing object mobility model</w:t>
            </w:r>
          </w:p>
        </w:tc>
        <w:tc>
          <w:tcPr>
            <w:tcW w:w="2435" w:type="dxa"/>
            <w:vAlign w:val="center"/>
          </w:tcPr>
          <w:p w14:paraId="4323F5BB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color w:val="000000"/>
              </w:rPr>
            </w:pPr>
            <w:r>
              <w:rPr>
                <w:color w:val="000000"/>
              </w:rPr>
              <w:t>Markovian model/ random walk</w:t>
            </w:r>
          </w:p>
        </w:tc>
      </w:tr>
      <w:tr w:rsidR="003F520F" w14:paraId="0C8C5634" w14:textId="77777777">
        <w:tc>
          <w:tcPr>
            <w:tcW w:w="440" w:type="dxa"/>
            <w:vAlign w:val="center"/>
          </w:tcPr>
          <w:p w14:paraId="19704FA3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415" w:type="dxa"/>
            <w:vAlign w:val="center"/>
          </w:tcPr>
          <w:p w14:paraId="04ABE288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color w:val="000000"/>
              </w:rPr>
            </w:pPr>
            <w:r>
              <w:rPr>
                <w:color w:val="000000"/>
              </w:rPr>
              <w:t>BS height</w:t>
            </w:r>
          </w:p>
        </w:tc>
        <w:tc>
          <w:tcPr>
            <w:tcW w:w="2435" w:type="dxa"/>
            <w:vAlign w:val="center"/>
          </w:tcPr>
          <w:p w14:paraId="511E255E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color w:val="000000"/>
              </w:rPr>
            </w:pPr>
            <w:r>
              <w:t>3</w:t>
            </w:r>
            <w:r>
              <w:rPr>
                <w:color w:val="000000"/>
              </w:rPr>
              <w:t>m</w:t>
            </w:r>
          </w:p>
        </w:tc>
      </w:tr>
      <w:tr w:rsidR="003F520F" w14:paraId="759F02FB" w14:textId="77777777">
        <w:tc>
          <w:tcPr>
            <w:tcW w:w="440" w:type="dxa"/>
            <w:vAlign w:val="center"/>
          </w:tcPr>
          <w:p w14:paraId="7ED3AE34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415" w:type="dxa"/>
            <w:vAlign w:val="center"/>
          </w:tcPr>
          <w:p w14:paraId="19CEEC44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color w:val="000000"/>
              </w:rPr>
            </w:pPr>
            <w:r>
              <w:rPr>
                <w:color w:val="000000"/>
              </w:rPr>
              <w:t>LOS/NLOS</w:t>
            </w:r>
          </w:p>
        </w:tc>
        <w:tc>
          <w:tcPr>
            <w:tcW w:w="2435" w:type="dxa"/>
            <w:vAlign w:val="center"/>
          </w:tcPr>
          <w:p w14:paraId="324AAB6B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color w:val="000000"/>
              </w:rPr>
            </w:pPr>
            <w:r>
              <w:rPr>
                <w:color w:val="000000"/>
              </w:rPr>
              <w:t>LOS and NLOS</w:t>
            </w:r>
          </w:p>
        </w:tc>
      </w:tr>
    </w:tbl>
    <w:p w14:paraId="70425296" w14:textId="77777777" w:rsidR="003F520F" w:rsidRDefault="003F520F">
      <w:pPr>
        <w:pBdr>
          <w:top w:val="nil"/>
          <w:left w:val="nil"/>
          <w:bottom w:val="nil"/>
          <w:right w:val="nil"/>
          <w:between w:val="nil"/>
        </w:pBdr>
        <w:spacing w:after="0"/>
        <w:ind w:left="1440"/>
        <w:rPr>
          <w:color w:val="0070C0"/>
        </w:rPr>
      </w:pPr>
    </w:p>
    <w:p w14:paraId="3B674AFD" w14:textId="77777777" w:rsidR="003F520F" w:rsidRDefault="00000000">
      <w:pPr>
        <w:pBdr>
          <w:top w:val="nil"/>
          <w:left w:val="nil"/>
          <w:bottom w:val="nil"/>
          <w:right w:val="nil"/>
          <w:between w:val="nil"/>
        </w:pBdr>
        <w:spacing w:after="0"/>
        <w:ind w:left="1440"/>
        <w:rPr>
          <w:color w:val="000000"/>
        </w:rPr>
      </w:pPr>
      <w:r>
        <w:rPr>
          <w:color w:val="000000"/>
        </w:rPr>
        <w:t xml:space="preserve"> Figure 1 shows a typical indoor home deployment scenario.</w:t>
      </w:r>
    </w:p>
    <w:p w14:paraId="04B4A78D" w14:textId="77777777" w:rsidR="003F520F" w:rsidRDefault="00000000">
      <w:pPr>
        <w:keepNext/>
        <w:pBdr>
          <w:top w:val="nil"/>
          <w:left w:val="nil"/>
          <w:bottom w:val="nil"/>
          <w:right w:val="nil"/>
          <w:between w:val="nil"/>
        </w:pBdr>
        <w:ind w:left="1440"/>
        <w:rPr>
          <w:color w:val="000000"/>
        </w:rPr>
      </w:pPr>
      <w:r>
        <w:rPr>
          <w:noProof/>
          <w:color w:val="0070C0"/>
        </w:rPr>
        <w:drawing>
          <wp:inline distT="0" distB="0" distL="0" distR="0" wp14:anchorId="049B4C0C" wp14:editId="54C12BDE">
            <wp:extent cx="4171772" cy="2492812"/>
            <wp:effectExtent l="0" t="0" r="0" b="0"/>
            <wp:docPr id="134444230" name="image1.png" descr="A close-up of a tabl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A close-up of a table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71772" cy="2492812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18C8552" w14:textId="77777777" w:rsidR="003F520F" w:rsidRDefault="00000000">
      <w:pPr>
        <w:pBdr>
          <w:top w:val="nil"/>
          <w:left w:val="nil"/>
          <w:bottom w:val="nil"/>
          <w:right w:val="nil"/>
          <w:between w:val="nil"/>
        </w:pBdr>
        <w:spacing w:after="200" w:line="240" w:lineRule="auto"/>
        <w:jc w:val="center"/>
        <w:rPr>
          <w:color w:val="000000"/>
          <w:sz w:val="18"/>
          <w:szCs w:val="18"/>
        </w:rPr>
      </w:pPr>
      <w:bookmarkStart w:id="0" w:name="_heading=h.gjdgxs" w:colFirst="0" w:colLast="0"/>
      <w:bookmarkEnd w:id="0"/>
      <w:r>
        <w:rPr>
          <w:color w:val="000000"/>
          <w:sz w:val="18"/>
          <w:szCs w:val="18"/>
        </w:rPr>
        <w:t>Figure 1. A typical indoor scenario</w:t>
      </w:r>
    </w:p>
    <w:p w14:paraId="26E35E00" w14:textId="77777777" w:rsidR="003F520F" w:rsidRDefault="003F520F">
      <w:pPr>
        <w:pBdr>
          <w:top w:val="nil"/>
          <w:left w:val="nil"/>
          <w:bottom w:val="nil"/>
          <w:right w:val="nil"/>
          <w:between w:val="nil"/>
        </w:pBdr>
        <w:spacing w:after="0"/>
        <w:ind w:left="1440"/>
        <w:jc w:val="center"/>
        <w:rPr>
          <w:color w:val="0070C0"/>
        </w:rPr>
      </w:pPr>
    </w:p>
    <w:p w14:paraId="7B99FD37" w14:textId="77777777" w:rsidR="003F520F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b/>
          <w:color w:val="000000"/>
        </w:rPr>
        <w:t>Indoor factory</w:t>
      </w:r>
      <w:r>
        <w:rPr>
          <w:color w:val="000000"/>
        </w:rPr>
        <w:t>: We suggest the following parameters and their corresponding values for an indoor factory scenario:</w:t>
      </w:r>
    </w:p>
    <w:p w14:paraId="5D94114D" w14:textId="77777777" w:rsidR="003F520F" w:rsidRDefault="00000000">
      <w:pPr>
        <w:keepNext/>
        <w:pBdr>
          <w:top w:val="nil"/>
          <w:left w:val="nil"/>
          <w:bottom w:val="nil"/>
          <w:right w:val="nil"/>
          <w:between w:val="nil"/>
        </w:pBdr>
        <w:spacing w:after="200" w:line="240" w:lineRule="auto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Table 2. Parameters for Indoor factory scenario with human and UGV as sensing targets</w:t>
      </w:r>
    </w:p>
    <w:tbl>
      <w:tblPr>
        <w:tblStyle w:val="a0"/>
        <w:tblW w:w="8190" w:type="dxa"/>
        <w:tblInd w:w="1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40"/>
        <w:gridCol w:w="4415"/>
        <w:gridCol w:w="3335"/>
      </w:tblGrid>
      <w:tr w:rsidR="003F520F" w14:paraId="7B42DD86" w14:textId="77777777"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68AD96" w14:textId="77777777" w:rsidR="003F520F" w:rsidRDefault="003F52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b/>
                <w:color w:val="000000"/>
              </w:rPr>
            </w:pPr>
          </w:p>
        </w:tc>
        <w:tc>
          <w:tcPr>
            <w:tcW w:w="4415" w:type="dxa"/>
            <w:tcBorders>
              <w:left w:val="single" w:sz="4" w:space="0" w:color="000000"/>
            </w:tcBorders>
            <w:shd w:val="clear" w:color="auto" w:fill="E7E6E6"/>
            <w:vAlign w:val="center"/>
          </w:tcPr>
          <w:p w14:paraId="0ED81B94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Parameter</w:t>
            </w:r>
          </w:p>
        </w:tc>
        <w:tc>
          <w:tcPr>
            <w:tcW w:w="3335" w:type="dxa"/>
            <w:shd w:val="clear" w:color="auto" w:fill="E7E6E6"/>
            <w:vAlign w:val="center"/>
          </w:tcPr>
          <w:p w14:paraId="13A6A634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Value</w:t>
            </w:r>
          </w:p>
        </w:tc>
      </w:tr>
      <w:tr w:rsidR="003F520F" w14:paraId="08FE0AD6" w14:textId="77777777">
        <w:tc>
          <w:tcPr>
            <w:tcW w:w="440" w:type="dxa"/>
            <w:tcBorders>
              <w:top w:val="single" w:sz="4" w:space="0" w:color="000000"/>
            </w:tcBorders>
            <w:vAlign w:val="center"/>
          </w:tcPr>
          <w:p w14:paraId="4F394634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415" w:type="dxa"/>
            <w:vAlign w:val="center"/>
          </w:tcPr>
          <w:p w14:paraId="634721B7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color w:val="000000"/>
              </w:rPr>
            </w:pPr>
            <w:r>
              <w:rPr>
                <w:color w:val="000000"/>
              </w:rPr>
              <w:t>Area size</w:t>
            </w:r>
          </w:p>
        </w:tc>
        <w:tc>
          <w:tcPr>
            <w:tcW w:w="3335" w:type="dxa"/>
            <w:vAlign w:val="center"/>
          </w:tcPr>
          <w:p w14:paraId="3AE547BE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color w:val="000000"/>
              </w:rPr>
            </w:pPr>
            <w:r>
              <w:rPr>
                <w:color w:val="000000"/>
              </w:rPr>
              <w:t xml:space="preserve">20-160000 </w:t>
            </w:r>
            <m:oMath>
              <m:sSup>
                <m:sSupPr>
                  <m:ctrlPr>
                    <w:rPr>
                      <w:rFonts w:ascii="Cambria Math" w:eastAsia="Cambria Math" w:hAnsi="Cambria Math" w:cs="Cambria Math"/>
                      <w:color w:val="000000"/>
                    </w:rPr>
                  </m:ctrlPr>
                </m:sSupPr>
                <m:e>
                  <m:r>
                    <w:rPr>
                      <w:rFonts w:ascii="Cambria Math" w:eastAsia="Cambria Math" w:hAnsi="Cambria Math" w:cs="Cambria Math"/>
                      <w:color w:val="000000"/>
                    </w:rPr>
                    <m:t>m</m:t>
                  </m:r>
                </m:e>
                <m:sup>
                  <m:r>
                    <w:rPr>
                      <w:rFonts w:ascii="Cambria Math" w:eastAsia="Cambria Math" w:hAnsi="Cambria Math" w:cs="Cambria Math"/>
                      <w:color w:val="000000"/>
                    </w:rPr>
                    <m:t>2</m:t>
                  </m:r>
                </m:sup>
              </m:sSup>
            </m:oMath>
          </w:p>
        </w:tc>
      </w:tr>
      <w:tr w:rsidR="003F520F" w14:paraId="0458EB67" w14:textId="77777777">
        <w:tc>
          <w:tcPr>
            <w:tcW w:w="440" w:type="dxa"/>
            <w:tcBorders>
              <w:top w:val="single" w:sz="4" w:space="0" w:color="000000"/>
            </w:tcBorders>
            <w:vAlign w:val="center"/>
          </w:tcPr>
          <w:p w14:paraId="14F259CF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415" w:type="dxa"/>
            <w:vAlign w:val="center"/>
          </w:tcPr>
          <w:p w14:paraId="306C182B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color w:val="000000"/>
              </w:rPr>
            </w:pPr>
            <w:r>
              <w:rPr>
                <w:color w:val="000000"/>
              </w:rPr>
              <w:t>Ceiling height</w:t>
            </w:r>
          </w:p>
        </w:tc>
        <w:tc>
          <w:tcPr>
            <w:tcW w:w="3335" w:type="dxa"/>
            <w:vAlign w:val="center"/>
          </w:tcPr>
          <w:p w14:paraId="3DE7E56A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color w:val="000000"/>
              </w:rPr>
            </w:pPr>
            <w:r>
              <w:rPr>
                <w:color w:val="000000"/>
              </w:rPr>
              <w:t>5</w:t>
            </w:r>
            <w:r>
              <w:t>-</w:t>
            </w:r>
            <w:r>
              <w:rPr>
                <w:color w:val="000000"/>
              </w:rPr>
              <w:t>25 m</w:t>
            </w:r>
          </w:p>
        </w:tc>
      </w:tr>
      <w:tr w:rsidR="003F520F" w14:paraId="77B703C3" w14:textId="77777777">
        <w:tc>
          <w:tcPr>
            <w:tcW w:w="440" w:type="dxa"/>
            <w:tcBorders>
              <w:top w:val="single" w:sz="4" w:space="0" w:color="000000"/>
            </w:tcBorders>
            <w:vAlign w:val="center"/>
          </w:tcPr>
          <w:p w14:paraId="624B845D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415" w:type="dxa"/>
            <w:vAlign w:val="center"/>
          </w:tcPr>
          <w:p w14:paraId="0621DB99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color w:val="000000"/>
              </w:rPr>
            </w:pPr>
            <w:r>
              <w:rPr>
                <w:color w:val="000000"/>
              </w:rPr>
              <w:t>Walls and ceiling type</w:t>
            </w:r>
          </w:p>
        </w:tc>
        <w:tc>
          <w:tcPr>
            <w:tcW w:w="3335" w:type="dxa"/>
            <w:vAlign w:val="center"/>
          </w:tcPr>
          <w:p w14:paraId="5BF24111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color w:val="000000"/>
              </w:rPr>
            </w:pPr>
            <w:r>
              <w:rPr>
                <w:color w:val="000000"/>
              </w:rPr>
              <w:t>Concrete/metal coated</w:t>
            </w:r>
          </w:p>
        </w:tc>
      </w:tr>
      <w:tr w:rsidR="003F520F" w14:paraId="03BCCAA8" w14:textId="77777777">
        <w:tc>
          <w:tcPr>
            <w:tcW w:w="440" w:type="dxa"/>
            <w:vAlign w:val="center"/>
          </w:tcPr>
          <w:p w14:paraId="431840D5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415" w:type="dxa"/>
            <w:vAlign w:val="center"/>
          </w:tcPr>
          <w:p w14:paraId="147C01ED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color w:val="000000"/>
              </w:rPr>
            </w:pPr>
            <w:r>
              <w:rPr>
                <w:color w:val="000000"/>
              </w:rPr>
              <w:t>Density of metal objects</w:t>
            </w:r>
          </w:p>
        </w:tc>
        <w:tc>
          <w:tcPr>
            <w:tcW w:w="3335" w:type="dxa"/>
            <w:vAlign w:val="center"/>
          </w:tcPr>
          <w:p w14:paraId="74628CB4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color w:val="000000"/>
              </w:rPr>
            </w:pPr>
            <w:r>
              <w:rPr>
                <w:color w:val="000000"/>
              </w:rPr>
              <w:t>25-70%</w:t>
            </w:r>
          </w:p>
        </w:tc>
      </w:tr>
      <w:tr w:rsidR="003F520F" w14:paraId="22005420" w14:textId="77777777">
        <w:tc>
          <w:tcPr>
            <w:tcW w:w="440" w:type="dxa"/>
            <w:vAlign w:val="center"/>
          </w:tcPr>
          <w:p w14:paraId="7CB74CD8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4415" w:type="dxa"/>
            <w:vAlign w:val="center"/>
          </w:tcPr>
          <w:p w14:paraId="1F0BF50E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color w:val="000000"/>
              </w:rPr>
            </w:pPr>
            <w:r>
              <w:rPr>
                <w:color w:val="000000"/>
              </w:rPr>
              <w:t>Size of the metal objects</w:t>
            </w:r>
          </w:p>
        </w:tc>
        <w:tc>
          <w:tcPr>
            <w:tcW w:w="3335" w:type="dxa"/>
            <w:vAlign w:val="center"/>
          </w:tcPr>
          <w:p w14:paraId="28C4D3DB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color w:val="000000"/>
              </w:rPr>
            </w:pPr>
            <w:r>
              <w:rPr>
                <w:color w:val="000000"/>
              </w:rPr>
              <w:t>1mx1mx1m - 10mx10mx10m</w:t>
            </w:r>
          </w:p>
        </w:tc>
      </w:tr>
      <w:tr w:rsidR="003F520F" w14:paraId="2BF202F6" w14:textId="77777777">
        <w:tc>
          <w:tcPr>
            <w:tcW w:w="440" w:type="dxa"/>
            <w:vAlign w:val="center"/>
          </w:tcPr>
          <w:p w14:paraId="01A801C2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4415" w:type="dxa"/>
            <w:vAlign w:val="center"/>
          </w:tcPr>
          <w:p w14:paraId="25581072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color w:val="000000"/>
              </w:rPr>
            </w:pPr>
            <w:r>
              <w:rPr>
                <w:color w:val="000000"/>
              </w:rPr>
              <w:t>Objects’ location distribution</w:t>
            </w:r>
          </w:p>
        </w:tc>
        <w:tc>
          <w:tcPr>
            <w:tcW w:w="3335" w:type="dxa"/>
            <w:vAlign w:val="center"/>
          </w:tcPr>
          <w:p w14:paraId="3E7BBC42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color w:val="000000"/>
              </w:rPr>
            </w:pPr>
            <w:r>
              <w:rPr>
                <w:color w:val="000000"/>
              </w:rPr>
              <w:t>Uniform</w:t>
            </w:r>
          </w:p>
        </w:tc>
      </w:tr>
      <w:tr w:rsidR="003F520F" w14:paraId="7D6126D4" w14:textId="77777777">
        <w:tc>
          <w:tcPr>
            <w:tcW w:w="440" w:type="dxa"/>
            <w:vAlign w:val="center"/>
          </w:tcPr>
          <w:p w14:paraId="7E686464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4415" w:type="dxa"/>
            <w:vAlign w:val="center"/>
          </w:tcPr>
          <w:p w14:paraId="05E0460B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color w:val="000000"/>
              </w:rPr>
            </w:pPr>
            <w:r>
              <w:rPr>
                <w:color w:val="000000"/>
              </w:rPr>
              <w:t>Sensing object speed (human)</w:t>
            </w:r>
          </w:p>
        </w:tc>
        <w:tc>
          <w:tcPr>
            <w:tcW w:w="3335" w:type="dxa"/>
            <w:vAlign w:val="center"/>
          </w:tcPr>
          <w:p w14:paraId="07EBD543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color w:val="000000"/>
              </w:rPr>
            </w:pPr>
            <w:r>
              <w:rPr>
                <w:color w:val="000000"/>
              </w:rPr>
              <w:t>3 km/</w:t>
            </w:r>
            <w:r>
              <w:t>h</w:t>
            </w:r>
          </w:p>
        </w:tc>
      </w:tr>
      <w:tr w:rsidR="003F520F" w14:paraId="1E24FCB4" w14:textId="77777777">
        <w:tc>
          <w:tcPr>
            <w:tcW w:w="440" w:type="dxa"/>
            <w:vAlign w:val="center"/>
          </w:tcPr>
          <w:p w14:paraId="131B9BC3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</w:t>
            </w:r>
          </w:p>
        </w:tc>
        <w:tc>
          <w:tcPr>
            <w:tcW w:w="4415" w:type="dxa"/>
            <w:vAlign w:val="center"/>
          </w:tcPr>
          <w:p w14:paraId="25334E59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color w:val="000000"/>
              </w:rPr>
            </w:pPr>
            <w:r>
              <w:rPr>
                <w:color w:val="000000"/>
              </w:rPr>
              <w:t>Sensing object speed (UGV)</w:t>
            </w:r>
          </w:p>
        </w:tc>
        <w:tc>
          <w:tcPr>
            <w:tcW w:w="3335" w:type="dxa"/>
            <w:vAlign w:val="center"/>
          </w:tcPr>
          <w:p w14:paraId="3C518340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color w:val="000000"/>
              </w:rPr>
            </w:pPr>
            <w:r>
              <w:rPr>
                <w:color w:val="000000"/>
              </w:rPr>
              <w:t>5 km/</w:t>
            </w:r>
            <w:r>
              <w:t>h</w:t>
            </w:r>
          </w:p>
        </w:tc>
      </w:tr>
      <w:tr w:rsidR="003F520F" w14:paraId="69B14A63" w14:textId="77777777">
        <w:tc>
          <w:tcPr>
            <w:tcW w:w="440" w:type="dxa"/>
            <w:vAlign w:val="center"/>
          </w:tcPr>
          <w:p w14:paraId="0BFF3FB0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4415" w:type="dxa"/>
            <w:vAlign w:val="center"/>
          </w:tcPr>
          <w:p w14:paraId="5A3B028D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color w:val="000000"/>
              </w:rPr>
            </w:pPr>
            <w:r>
              <w:rPr>
                <w:color w:val="000000"/>
              </w:rPr>
              <w:t>Sensing object mobility model (human)</w:t>
            </w:r>
          </w:p>
        </w:tc>
        <w:tc>
          <w:tcPr>
            <w:tcW w:w="3335" w:type="dxa"/>
            <w:vAlign w:val="center"/>
          </w:tcPr>
          <w:p w14:paraId="24DDBD3B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color w:val="000000"/>
              </w:rPr>
            </w:pPr>
            <w:r>
              <w:rPr>
                <w:color w:val="000000"/>
              </w:rPr>
              <w:t>Random walk/ Random way point</w:t>
            </w:r>
          </w:p>
        </w:tc>
      </w:tr>
      <w:tr w:rsidR="003F520F" w14:paraId="43FED19F" w14:textId="77777777">
        <w:tc>
          <w:tcPr>
            <w:tcW w:w="440" w:type="dxa"/>
            <w:vAlign w:val="center"/>
          </w:tcPr>
          <w:p w14:paraId="517F9C85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415" w:type="dxa"/>
            <w:vAlign w:val="center"/>
          </w:tcPr>
          <w:p w14:paraId="27A46B04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color w:val="000000"/>
              </w:rPr>
            </w:pPr>
            <w:r>
              <w:rPr>
                <w:color w:val="000000"/>
              </w:rPr>
              <w:t>Sensing object mobility model (UGV)</w:t>
            </w:r>
          </w:p>
        </w:tc>
        <w:tc>
          <w:tcPr>
            <w:tcW w:w="3335" w:type="dxa"/>
            <w:vAlign w:val="center"/>
          </w:tcPr>
          <w:p w14:paraId="69AA43FB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color w:val="000000"/>
              </w:rPr>
            </w:pPr>
            <w:r>
              <w:rPr>
                <w:color w:val="000000"/>
              </w:rPr>
              <w:t xml:space="preserve">Random walk/ Random way point </w:t>
            </w:r>
          </w:p>
        </w:tc>
      </w:tr>
      <w:tr w:rsidR="003F520F" w14:paraId="3A274D4F" w14:textId="77777777">
        <w:tc>
          <w:tcPr>
            <w:tcW w:w="440" w:type="dxa"/>
            <w:vAlign w:val="center"/>
          </w:tcPr>
          <w:p w14:paraId="21BC87A5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415" w:type="dxa"/>
            <w:vAlign w:val="center"/>
          </w:tcPr>
          <w:p w14:paraId="58AC9856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color w:val="000000"/>
              </w:rPr>
            </w:pPr>
            <w:r>
              <w:rPr>
                <w:color w:val="000000"/>
              </w:rPr>
              <w:t>BS height</w:t>
            </w:r>
          </w:p>
        </w:tc>
        <w:tc>
          <w:tcPr>
            <w:tcW w:w="3335" w:type="dxa"/>
            <w:vAlign w:val="center"/>
          </w:tcPr>
          <w:p w14:paraId="705CFB73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color w:val="000000"/>
              </w:rPr>
            </w:pPr>
            <w:r>
              <w:rPr>
                <w:color w:val="000000"/>
              </w:rPr>
              <w:t>10m</w:t>
            </w:r>
          </w:p>
        </w:tc>
      </w:tr>
      <w:tr w:rsidR="003F520F" w14:paraId="1DECCCB3" w14:textId="77777777">
        <w:tc>
          <w:tcPr>
            <w:tcW w:w="440" w:type="dxa"/>
            <w:vAlign w:val="center"/>
          </w:tcPr>
          <w:p w14:paraId="10CDA426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415" w:type="dxa"/>
            <w:vAlign w:val="center"/>
          </w:tcPr>
          <w:p w14:paraId="3C1EEE1E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color w:val="000000"/>
              </w:rPr>
            </w:pPr>
            <w:r>
              <w:rPr>
                <w:color w:val="000000"/>
              </w:rPr>
              <w:t>LOS/NLOS</w:t>
            </w:r>
          </w:p>
        </w:tc>
        <w:tc>
          <w:tcPr>
            <w:tcW w:w="3335" w:type="dxa"/>
            <w:vAlign w:val="center"/>
          </w:tcPr>
          <w:p w14:paraId="09A1C41A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color w:val="000000"/>
              </w:rPr>
            </w:pPr>
            <w:r>
              <w:rPr>
                <w:color w:val="000000"/>
              </w:rPr>
              <w:t>LOS and NLOS</w:t>
            </w:r>
          </w:p>
        </w:tc>
      </w:tr>
    </w:tbl>
    <w:p w14:paraId="2075ABCC" w14:textId="77777777" w:rsidR="003F520F" w:rsidRDefault="003F520F">
      <w:pPr>
        <w:rPr>
          <w:color w:val="0070C0"/>
        </w:rPr>
      </w:pPr>
    </w:p>
    <w:p w14:paraId="5D4C707F" w14:textId="77777777" w:rsidR="003F520F" w:rsidRDefault="003F520F">
      <w:pPr>
        <w:rPr>
          <w:color w:val="0070C0"/>
        </w:rPr>
      </w:pPr>
    </w:p>
    <w:p w14:paraId="5884AB9A" w14:textId="77777777" w:rsidR="003F520F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b/>
          <w:color w:val="000000"/>
        </w:rPr>
      </w:pPr>
      <w:r>
        <w:rPr>
          <w:b/>
          <w:color w:val="000000"/>
        </w:rPr>
        <w:t>Outdoor Deployment Scenario</w:t>
      </w:r>
    </w:p>
    <w:p w14:paraId="74B80943" w14:textId="77777777" w:rsidR="003F520F" w:rsidRDefault="003F520F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b/>
          <w:color w:val="000000"/>
        </w:rPr>
      </w:pPr>
    </w:p>
    <w:p w14:paraId="534832C5" w14:textId="77777777" w:rsidR="003F520F" w:rsidRDefault="0000000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>
        <w:rPr>
          <w:b/>
          <w:color w:val="000000"/>
        </w:rPr>
        <w:t xml:space="preserve">Urban Micro (UMi): </w:t>
      </w:r>
      <w:r>
        <w:rPr>
          <w:color w:val="000000"/>
        </w:rPr>
        <w:t>We suggest the following parameters and their corresponding values for tracking objects on the ground, e.g., a UGV.</w:t>
      </w:r>
    </w:p>
    <w:p w14:paraId="13D08AE8" w14:textId="77777777" w:rsidR="003F520F" w:rsidRDefault="003F520F">
      <w:p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/>
        </w:rPr>
      </w:pPr>
    </w:p>
    <w:p w14:paraId="426DA9DE" w14:textId="77777777" w:rsidR="003F520F" w:rsidRDefault="00000000">
      <w:pPr>
        <w:keepNext/>
        <w:pBdr>
          <w:top w:val="nil"/>
          <w:left w:val="nil"/>
          <w:bottom w:val="nil"/>
          <w:right w:val="nil"/>
          <w:between w:val="nil"/>
        </w:pBdr>
        <w:spacing w:after="200" w:line="240" w:lineRule="auto"/>
        <w:jc w:val="center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Table 3. Parameters for a UGV tacking in </w:t>
      </w:r>
      <w:proofErr w:type="gramStart"/>
      <w:r>
        <w:rPr>
          <w:color w:val="000000"/>
          <w:sz w:val="18"/>
          <w:szCs w:val="18"/>
        </w:rPr>
        <w:t>UMi</w:t>
      </w:r>
      <w:proofErr w:type="gramEnd"/>
    </w:p>
    <w:tbl>
      <w:tblPr>
        <w:tblStyle w:val="a1"/>
        <w:tblW w:w="8010" w:type="dxa"/>
        <w:tblInd w:w="1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40"/>
        <w:gridCol w:w="4415"/>
        <w:gridCol w:w="3155"/>
      </w:tblGrid>
      <w:tr w:rsidR="003F520F" w14:paraId="4F00C46A" w14:textId="77777777"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1A7D59" w14:textId="77777777" w:rsidR="003F520F" w:rsidRDefault="003F52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b/>
                <w:color w:val="000000"/>
              </w:rPr>
            </w:pPr>
          </w:p>
        </w:tc>
        <w:tc>
          <w:tcPr>
            <w:tcW w:w="4415" w:type="dxa"/>
            <w:tcBorders>
              <w:left w:val="single" w:sz="4" w:space="0" w:color="000000"/>
            </w:tcBorders>
            <w:shd w:val="clear" w:color="auto" w:fill="E7E6E6"/>
            <w:vAlign w:val="center"/>
          </w:tcPr>
          <w:p w14:paraId="07476EB1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Parameter</w:t>
            </w:r>
          </w:p>
        </w:tc>
        <w:tc>
          <w:tcPr>
            <w:tcW w:w="3155" w:type="dxa"/>
            <w:shd w:val="clear" w:color="auto" w:fill="E7E6E6"/>
            <w:vAlign w:val="center"/>
          </w:tcPr>
          <w:p w14:paraId="5A6E27FC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Value</w:t>
            </w:r>
          </w:p>
        </w:tc>
      </w:tr>
      <w:tr w:rsidR="003F520F" w14:paraId="172B25F8" w14:textId="77777777">
        <w:tc>
          <w:tcPr>
            <w:tcW w:w="440" w:type="dxa"/>
            <w:tcBorders>
              <w:top w:val="single" w:sz="4" w:space="0" w:color="000000"/>
            </w:tcBorders>
          </w:tcPr>
          <w:p w14:paraId="6B7BF67D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415" w:type="dxa"/>
            <w:vAlign w:val="center"/>
          </w:tcPr>
          <w:p w14:paraId="0DAC0D67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color w:val="000000"/>
              </w:rPr>
            </w:pPr>
            <w:r>
              <w:rPr>
                <w:color w:val="000000"/>
              </w:rPr>
              <w:t>Layout</w:t>
            </w:r>
          </w:p>
        </w:tc>
        <w:tc>
          <w:tcPr>
            <w:tcW w:w="3155" w:type="dxa"/>
            <w:vAlign w:val="center"/>
          </w:tcPr>
          <w:p w14:paraId="1C8AE2CA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color w:val="000000"/>
              </w:rPr>
            </w:pPr>
            <w:r>
              <w:rPr>
                <w:color w:val="000000"/>
              </w:rPr>
              <w:t>Hexagonal grid</w:t>
            </w:r>
          </w:p>
        </w:tc>
      </w:tr>
      <w:tr w:rsidR="003F520F" w14:paraId="62CBBF66" w14:textId="77777777">
        <w:tc>
          <w:tcPr>
            <w:tcW w:w="440" w:type="dxa"/>
          </w:tcPr>
          <w:p w14:paraId="6D5C529D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415" w:type="dxa"/>
            <w:vAlign w:val="center"/>
          </w:tcPr>
          <w:p w14:paraId="09DA41BB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color w:val="000000"/>
              </w:rPr>
            </w:pPr>
            <w:r>
              <w:rPr>
                <w:color w:val="000000"/>
              </w:rPr>
              <w:t>BS height</w:t>
            </w:r>
          </w:p>
        </w:tc>
        <w:tc>
          <w:tcPr>
            <w:tcW w:w="3155" w:type="dxa"/>
            <w:vAlign w:val="center"/>
          </w:tcPr>
          <w:p w14:paraId="15185D9B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color w:val="000000"/>
              </w:rPr>
            </w:pPr>
            <w:r>
              <w:rPr>
                <w:color w:val="000000"/>
              </w:rPr>
              <w:t>10 m</w:t>
            </w:r>
          </w:p>
        </w:tc>
      </w:tr>
      <w:tr w:rsidR="003F520F" w14:paraId="4F10273B" w14:textId="77777777">
        <w:tc>
          <w:tcPr>
            <w:tcW w:w="440" w:type="dxa"/>
          </w:tcPr>
          <w:p w14:paraId="3D7A9FD2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415" w:type="dxa"/>
            <w:vAlign w:val="center"/>
          </w:tcPr>
          <w:p w14:paraId="2452071E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color w:val="000000"/>
              </w:rPr>
            </w:pPr>
            <w:r>
              <w:rPr>
                <w:color w:val="000000"/>
              </w:rPr>
              <w:t>Sensing object speed (UGV)</w:t>
            </w:r>
          </w:p>
        </w:tc>
        <w:tc>
          <w:tcPr>
            <w:tcW w:w="3155" w:type="dxa"/>
            <w:vAlign w:val="center"/>
          </w:tcPr>
          <w:p w14:paraId="79E7DCD7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color w:val="000000"/>
              </w:rPr>
            </w:pPr>
            <w:r>
              <w:rPr>
                <w:color w:val="000000"/>
              </w:rPr>
              <w:t>7 km/h (</w:t>
            </w:r>
            <m:oMath>
              <m:r>
                <w:rPr>
                  <w:rFonts w:ascii="Cambria Math" w:eastAsia="Cambria Math" w:hAnsi="Cambria Math" w:cs="Cambria Math"/>
                  <w:color w:val="000000"/>
                </w:rPr>
                <m:t>~</m:t>
              </m:r>
            </m:oMath>
            <w:r>
              <w:rPr>
                <w:color w:val="000000"/>
              </w:rPr>
              <w:t>2m/s)</w:t>
            </w:r>
          </w:p>
        </w:tc>
      </w:tr>
      <w:tr w:rsidR="003F520F" w14:paraId="4D972BFD" w14:textId="77777777">
        <w:tc>
          <w:tcPr>
            <w:tcW w:w="440" w:type="dxa"/>
          </w:tcPr>
          <w:p w14:paraId="39BDD77A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415" w:type="dxa"/>
            <w:vAlign w:val="center"/>
          </w:tcPr>
          <w:p w14:paraId="43004361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color w:val="000000"/>
              </w:rPr>
            </w:pPr>
            <w:r>
              <w:rPr>
                <w:color w:val="000000"/>
              </w:rPr>
              <w:t>Sensing object mobility model (UGV)</w:t>
            </w:r>
          </w:p>
        </w:tc>
        <w:tc>
          <w:tcPr>
            <w:tcW w:w="3155" w:type="dxa"/>
            <w:vAlign w:val="center"/>
          </w:tcPr>
          <w:p w14:paraId="7C25B4D4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color w:val="000000"/>
              </w:rPr>
            </w:pPr>
            <w:r>
              <w:rPr>
                <w:color w:val="000000"/>
              </w:rPr>
              <w:t>Random walk/Random Way Point/Gauss-Markov</w:t>
            </w:r>
          </w:p>
        </w:tc>
      </w:tr>
      <w:tr w:rsidR="003F520F" w14:paraId="42919E12" w14:textId="77777777">
        <w:tc>
          <w:tcPr>
            <w:tcW w:w="440" w:type="dxa"/>
          </w:tcPr>
          <w:p w14:paraId="3B7F763B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4415" w:type="dxa"/>
            <w:vAlign w:val="center"/>
          </w:tcPr>
          <w:p w14:paraId="23E78FCD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color w:val="000000"/>
              </w:rPr>
            </w:pPr>
            <w:r>
              <w:rPr>
                <w:color w:val="000000"/>
              </w:rPr>
              <w:t>Minimum BS and object distance</w:t>
            </w:r>
          </w:p>
        </w:tc>
        <w:tc>
          <w:tcPr>
            <w:tcW w:w="3155" w:type="dxa"/>
            <w:vAlign w:val="center"/>
          </w:tcPr>
          <w:p w14:paraId="05846133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3F520F" w14:paraId="66C82729" w14:textId="77777777">
        <w:tc>
          <w:tcPr>
            <w:tcW w:w="440" w:type="dxa"/>
          </w:tcPr>
          <w:p w14:paraId="6769E962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4415" w:type="dxa"/>
            <w:vAlign w:val="center"/>
          </w:tcPr>
          <w:p w14:paraId="652B546D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color w:val="000000"/>
              </w:rPr>
            </w:pPr>
            <w:r>
              <w:rPr>
                <w:color w:val="000000"/>
              </w:rPr>
              <w:t>LOS/NLOS</w:t>
            </w:r>
          </w:p>
        </w:tc>
        <w:tc>
          <w:tcPr>
            <w:tcW w:w="3155" w:type="dxa"/>
            <w:vAlign w:val="center"/>
          </w:tcPr>
          <w:p w14:paraId="4A52D527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color w:val="000000"/>
              </w:rPr>
            </w:pPr>
            <w:r>
              <w:rPr>
                <w:color w:val="000000"/>
              </w:rPr>
              <w:t>LOS and NLOS</w:t>
            </w:r>
          </w:p>
        </w:tc>
      </w:tr>
    </w:tbl>
    <w:p w14:paraId="2793429D" w14:textId="77777777" w:rsidR="003F520F" w:rsidRDefault="003F520F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color w:val="000000"/>
        </w:rPr>
      </w:pPr>
    </w:p>
    <w:p w14:paraId="576F3808" w14:textId="77777777" w:rsidR="003F520F" w:rsidRDefault="003F520F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color w:val="000000"/>
        </w:rPr>
      </w:pPr>
    </w:p>
    <w:p w14:paraId="60C5712F" w14:textId="77777777" w:rsidR="003F520F" w:rsidRDefault="0000000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Urban Macro (UMa): We suggest the following parameters and their corresponding values for tracking objects over the air, e.g., a UAV.</w:t>
      </w:r>
    </w:p>
    <w:p w14:paraId="1193EF98" w14:textId="77777777" w:rsidR="003F520F" w:rsidRDefault="00000000">
      <w:pPr>
        <w:keepNext/>
        <w:pBdr>
          <w:top w:val="nil"/>
          <w:left w:val="nil"/>
          <w:bottom w:val="nil"/>
          <w:right w:val="nil"/>
          <w:between w:val="nil"/>
        </w:pBdr>
        <w:spacing w:after="200" w:line="240" w:lineRule="auto"/>
        <w:jc w:val="center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Table 4. Parameters for a UAV tracking in UMa</w:t>
      </w:r>
    </w:p>
    <w:tbl>
      <w:tblPr>
        <w:tblStyle w:val="a2"/>
        <w:tblW w:w="8010" w:type="dxa"/>
        <w:tblInd w:w="1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40"/>
        <w:gridCol w:w="4415"/>
        <w:gridCol w:w="3155"/>
      </w:tblGrid>
      <w:tr w:rsidR="003F520F" w14:paraId="553DA00A" w14:textId="77777777"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5B53B0" w14:textId="77777777" w:rsidR="003F520F" w:rsidRDefault="003F52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b/>
                <w:color w:val="000000"/>
              </w:rPr>
            </w:pPr>
          </w:p>
        </w:tc>
        <w:tc>
          <w:tcPr>
            <w:tcW w:w="4415" w:type="dxa"/>
            <w:tcBorders>
              <w:left w:val="single" w:sz="4" w:space="0" w:color="000000"/>
            </w:tcBorders>
            <w:shd w:val="clear" w:color="auto" w:fill="E7E6E6"/>
            <w:vAlign w:val="center"/>
          </w:tcPr>
          <w:p w14:paraId="11A66CFE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Parameter</w:t>
            </w:r>
          </w:p>
        </w:tc>
        <w:tc>
          <w:tcPr>
            <w:tcW w:w="3155" w:type="dxa"/>
            <w:shd w:val="clear" w:color="auto" w:fill="E7E6E6"/>
            <w:vAlign w:val="center"/>
          </w:tcPr>
          <w:p w14:paraId="38B00F09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Value</w:t>
            </w:r>
          </w:p>
        </w:tc>
      </w:tr>
      <w:tr w:rsidR="003F520F" w14:paraId="5E1A0AAB" w14:textId="77777777">
        <w:tc>
          <w:tcPr>
            <w:tcW w:w="440" w:type="dxa"/>
            <w:tcBorders>
              <w:top w:val="single" w:sz="4" w:space="0" w:color="000000"/>
            </w:tcBorders>
          </w:tcPr>
          <w:p w14:paraId="38317C52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415" w:type="dxa"/>
            <w:vAlign w:val="center"/>
          </w:tcPr>
          <w:p w14:paraId="5D7B23B7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color w:val="000000"/>
              </w:rPr>
            </w:pPr>
            <w:r>
              <w:rPr>
                <w:color w:val="000000"/>
              </w:rPr>
              <w:t>Layout</w:t>
            </w:r>
          </w:p>
        </w:tc>
        <w:tc>
          <w:tcPr>
            <w:tcW w:w="3155" w:type="dxa"/>
            <w:vAlign w:val="center"/>
          </w:tcPr>
          <w:p w14:paraId="5815F9B9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color w:val="000000"/>
              </w:rPr>
            </w:pPr>
            <w:r>
              <w:rPr>
                <w:color w:val="000000"/>
              </w:rPr>
              <w:t>Hexagonal grid</w:t>
            </w:r>
          </w:p>
        </w:tc>
      </w:tr>
      <w:tr w:rsidR="003F520F" w14:paraId="7C4F2668" w14:textId="77777777">
        <w:tc>
          <w:tcPr>
            <w:tcW w:w="440" w:type="dxa"/>
          </w:tcPr>
          <w:p w14:paraId="28182182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415" w:type="dxa"/>
            <w:vAlign w:val="center"/>
          </w:tcPr>
          <w:p w14:paraId="40CA3478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color w:val="000000"/>
              </w:rPr>
            </w:pPr>
            <w:r>
              <w:rPr>
                <w:color w:val="000000"/>
              </w:rPr>
              <w:t>BS height</w:t>
            </w:r>
          </w:p>
        </w:tc>
        <w:tc>
          <w:tcPr>
            <w:tcW w:w="3155" w:type="dxa"/>
            <w:vAlign w:val="center"/>
          </w:tcPr>
          <w:p w14:paraId="284BBAEF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color w:val="000000"/>
              </w:rPr>
            </w:pPr>
            <w:r>
              <w:rPr>
                <w:color w:val="000000"/>
              </w:rPr>
              <w:t>25m</w:t>
            </w:r>
          </w:p>
        </w:tc>
      </w:tr>
      <w:tr w:rsidR="003F520F" w14:paraId="1659C8CA" w14:textId="77777777">
        <w:tc>
          <w:tcPr>
            <w:tcW w:w="440" w:type="dxa"/>
          </w:tcPr>
          <w:p w14:paraId="03815DD8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415" w:type="dxa"/>
            <w:vAlign w:val="center"/>
          </w:tcPr>
          <w:p w14:paraId="14F9D6E7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color w:val="000000"/>
              </w:rPr>
            </w:pPr>
            <w:r>
              <w:rPr>
                <w:color w:val="000000"/>
              </w:rPr>
              <w:t>Sensing object speed (UAV)</w:t>
            </w:r>
          </w:p>
        </w:tc>
        <w:tc>
          <w:tcPr>
            <w:tcW w:w="3155" w:type="dxa"/>
            <w:vAlign w:val="center"/>
          </w:tcPr>
          <w:p w14:paraId="4FB60E92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color w:val="000000"/>
              </w:rPr>
            </w:pPr>
            <w:r>
              <w:rPr>
                <w:color w:val="000000"/>
              </w:rPr>
              <w:t>40 km/h</w:t>
            </w:r>
          </w:p>
        </w:tc>
      </w:tr>
      <w:tr w:rsidR="003F520F" w14:paraId="5B778189" w14:textId="77777777">
        <w:tc>
          <w:tcPr>
            <w:tcW w:w="440" w:type="dxa"/>
          </w:tcPr>
          <w:p w14:paraId="0D78A761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415" w:type="dxa"/>
            <w:vAlign w:val="center"/>
          </w:tcPr>
          <w:p w14:paraId="68B9FE57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color w:val="000000"/>
              </w:rPr>
            </w:pPr>
            <w:r>
              <w:rPr>
                <w:color w:val="000000"/>
              </w:rPr>
              <w:t xml:space="preserve">Sensing object mobility </w:t>
            </w:r>
            <w:proofErr w:type="gramStart"/>
            <w:r>
              <w:rPr>
                <w:color w:val="000000"/>
              </w:rPr>
              <w:t>model(</w:t>
            </w:r>
            <w:proofErr w:type="gramEnd"/>
            <w:r>
              <w:rPr>
                <w:color w:val="000000"/>
              </w:rPr>
              <w:t>UAV)</w:t>
            </w:r>
          </w:p>
        </w:tc>
        <w:tc>
          <w:tcPr>
            <w:tcW w:w="3155" w:type="dxa"/>
            <w:vAlign w:val="center"/>
          </w:tcPr>
          <w:p w14:paraId="425F4219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 xml:space="preserve">Random walk/Random Way Point/ Gauss-Markov </w:t>
            </w:r>
          </w:p>
        </w:tc>
      </w:tr>
      <w:tr w:rsidR="003F520F" w14:paraId="5ACD07C3" w14:textId="77777777">
        <w:tc>
          <w:tcPr>
            <w:tcW w:w="440" w:type="dxa"/>
          </w:tcPr>
          <w:p w14:paraId="12B1576A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color w:val="000000"/>
              </w:rPr>
            </w:pPr>
            <w:r>
              <w:rPr>
                <w:color w:val="000000"/>
              </w:rPr>
              <w:lastRenderedPageBreak/>
              <w:t>5</w:t>
            </w:r>
          </w:p>
        </w:tc>
        <w:tc>
          <w:tcPr>
            <w:tcW w:w="4415" w:type="dxa"/>
            <w:vAlign w:val="center"/>
          </w:tcPr>
          <w:p w14:paraId="38732D8A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color w:val="000000"/>
              </w:rPr>
            </w:pPr>
            <w:r>
              <w:rPr>
                <w:color w:val="000000"/>
              </w:rPr>
              <w:t>LOS/NLOS</w:t>
            </w:r>
          </w:p>
        </w:tc>
        <w:tc>
          <w:tcPr>
            <w:tcW w:w="3155" w:type="dxa"/>
            <w:vAlign w:val="center"/>
          </w:tcPr>
          <w:p w14:paraId="35A6CB2B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color w:val="000000"/>
              </w:rPr>
            </w:pPr>
            <w:r>
              <w:rPr>
                <w:color w:val="000000"/>
              </w:rPr>
              <w:t>LOS and NLOS</w:t>
            </w:r>
          </w:p>
        </w:tc>
      </w:tr>
    </w:tbl>
    <w:p w14:paraId="06AFA733" w14:textId="77777777" w:rsidR="003F520F" w:rsidRDefault="003F520F">
      <w:pPr>
        <w:spacing w:line="259" w:lineRule="auto"/>
      </w:pPr>
    </w:p>
    <w:p w14:paraId="1BADFD76" w14:textId="77777777" w:rsidR="003F520F" w:rsidRDefault="00000000">
      <w:pPr>
        <w:spacing w:line="259" w:lineRule="auto"/>
        <w:rPr>
          <w:b/>
        </w:rPr>
      </w:pPr>
      <w:r>
        <w:rPr>
          <w:b/>
        </w:rPr>
        <w:t>Conclusions</w:t>
      </w:r>
    </w:p>
    <w:p w14:paraId="7CE1589A" w14:textId="77777777" w:rsidR="003F520F" w:rsidRDefault="00000000">
      <w:pPr>
        <w:spacing w:line="259" w:lineRule="auto"/>
        <w:jc w:val="both"/>
      </w:pPr>
      <w:r>
        <w:t>In this proposal, we have proposed a few deployment scenarios for ISAC including two indoor and two outdoor deployment configurations where we have provided a list of objects and parameters along with their corresponding numerical values.</w:t>
      </w:r>
    </w:p>
    <w:p w14:paraId="6C1109BF" w14:textId="77777777" w:rsidR="003F520F" w:rsidRDefault="00000000">
      <w:pPr>
        <w:pStyle w:val="Heading1"/>
        <w:rPr>
          <w:b/>
          <w:color w:val="000000"/>
        </w:rPr>
      </w:pPr>
      <w:r>
        <w:rPr>
          <w:b/>
          <w:color w:val="000000"/>
        </w:rPr>
        <w:t>References</w:t>
      </w:r>
    </w:p>
    <w:p w14:paraId="64AFE3B0" w14:textId="77777777" w:rsidR="003F520F" w:rsidRDefault="003F520F"/>
    <w:tbl>
      <w:tblPr>
        <w:tblStyle w:val="a3"/>
        <w:tblW w:w="9360" w:type="dxa"/>
        <w:tblLayout w:type="fixed"/>
        <w:tblLook w:val="0400" w:firstRow="0" w:lastRow="0" w:firstColumn="0" w:lastColumn="0" w:noHBand="0" w:noVBand="1"/>
      </w:tblPr>
      <w:tblGrid>
        <w:gridCol w:w="322"/>
        <w:gridCol w:w="9038"/>
      </w:tblGrid>
      <w:tr w:rsidR="003F520F" w14:paraId="7B5A5201" w14:textId="77777777">
        <w:tc>
          <w:tcPr>
            <w:tcW w:w="322" w:type="dxa"/>
          </w:tcPr>
          <w:p w14:paraId="4ABEC827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[1] </w:t>
            </w:r>
          </w:p>
        </w:tc>
        <w:tc>
          <w:tcPr>
            <w:tcW w:w="9038" w:type="dxa"/>
          </w:tcPr>
          <w:p w14:paraId="14116B9E" w14:textId="77777777" w:rsidR="003F520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"RP-234069, New SID: Study for channel modeling for ISAC for NR," Dec. 2023.</w:t>
            </w:r>
          </w:p>
        </w:tc>
      </w:tr>
    </w:tbl>
    <w:p w14:paraId="5308E6C0" w14:textId="77777777" w:rsidR="003F520F" w:rsidRDefault="003F520F"/>
    <w:p w14:paraId="17892D4B" w14:textId="77777777" w:rsidR="003F520F" w:rsidRDefault="003F520F"/>
    <w:sectPr w:rsidR="003F520F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6B7EA7"/>
    <w:multiLevelType w:val="multilevel"/>
    <w:tmpl w:val="4D7E3620"/>
    <w:lvl w:ilvl="0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5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1" w15:restartNumberingAfterBreak="0">
    <w:nsid w:val="44C5764B"/>
    <w:multiLevelType w:val="multilevel"/>
    <w:tmpl w:val="F33040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upperLetter"/>
      <w:lvlText w:val="%2."/>
      <w:lvlJc w:val="left"/>
      <w:pPr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3F07B0"/>
    <w:multiLevelType w:val="multilevel"/>
    <w:tmpl w:val="1B1E905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558202807">
    <w:abstractNumId w:val="1"/>
  </w:num>
  <w:num w:numId="2" w16cid:durableId="415442232">
    <w:abstractNumId w:val="0"/>
  </w:num>
  <w:num w:numId="3" w16cid:durableId="7054508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520F"/>
    <w:rsid w:val="003F520F"/>
    <w:rsid w:val="004F28FC"/>
    <w:rsid w:val="00B90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DF022D"/>
  <w15:docId w15:val="{1A2E57A3-FFCC-4836-A26F-7E2FB6094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505F"/>
  </w:style>
  <w:style w:type="paragraph" w:styleId="Heading1">
    <w:name w:val="heading 1"/>
    <w:basedOn w:val="Normal"/>
    <w:next w:val="Normal"/>
    <w:link w:val="Heading1Char"/>
    <w:uiPriority w:val="9"/>
    <w:qFormat/>
    <w:rsid w:val="00926F0B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rsid w:val="004325B7"/>
    <w:pPr>
      <w:ind w:left="720"/>
      <w:contextualSpacing/>
    </w:pPr>
  </w:style>
  <w:style w:type="table" w:styleId="TableGrid">
    <w:name w:val="Table Grid"/>
    <w:basedOn w:val="TableNormal"/>
    <w:uiPriority w:val="39"/>
    <w:rsid w:val="00FC7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7E2796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023C63"/>
    <w:rPr>
      <w:color w:val="666666"/>
    </w:rPr>
  </w:style>
  <w:style w:type="character" w:styleId="CommentReference">
    <w:name w:val="annotation reference"/>
    <w:basedOn w:val="DefaultParagraphFont"/>
    <w:uiPriority w:val="99"/>
    <w:semiHidden/>
    <w:unhideWhenUsed/>
    <w:rsid w:val="00472C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72C2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72C2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2C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2C2C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926F0B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</w:rPr>
  </w:style>
  <w:style w:type="paragraph" w:styleId="Bibliography">
    <w:name w:val="Bibliography"/>
    <w:basedOn w:val="Normal"/>
    <w:next w:val="Normal"/>
    <w:uiPriority w:val="37"/>
    <w:unhideWhenUsed/>
    <w:rsid w:val="00926F0B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ir7oSzaNJUWaTtybSAdbSGs49iw==">CgMxLjAyCGguZ2pkZ3hzOAByITF2dHFxZWV4c2RXNnlTTVlteGRaT2lBM1JTcGNuUW1Ndg==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542</Words>
  <Characters>3090</Characters>
  <Application>Microsoft Office Word</Application>
  <DocSecurity>0</DocSecurity>
  <Lines>25</Lines>
  <Paragraphs>7</Paragraphs>
  <ScaleCrop>false</ScaleCrop>
  <Company/>
  <LinksUpToDate>false</LinksUpToDate>
  <CharactersWithSpaces>3625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Saeede Enayati</dc:creator>
  <cp:lastModifiedBy>Saeede Enayati</cp:lastModifiedBy>
  <cp:revision>3</cp:revision>
  <dcterms:created xsi:type="dcterms:W3CDTF">2024-01-17T21:41:00Z</dcterms:created>
  <dcterms:modified xsi:type="dcterms:W3CDTF">2024-02-19T15:01:00Z</dcterms:modified>
</cp:coreProperties>
</file>